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line="276" w:lineRule="auto"/>
        <w:jc w:val="center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40"/>
          <w:szCs w:val="40"/>
          <w:rtl w:val="0"/>
        </w:rPr>
        <w:t xml:space="preserve">МЕСТНЫЙ БЛАГОТВОРИТЕЛЬНЫЙ ФОНД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40"/>
          <w:szCs w:val="40"/>
          <w:rtl w:val="0"/>
        </w:rPr>
        <w:t xml:space="preserve">“МАЯК ДОБРА”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67.0" w:type="dxa"/>
        <w:tblLayout w:type="fixed"/>
        <w:tblLook w:val="0000"/>
      </w:tblPr>
      <w:tblGrid>
        <w:gridCol w:w="4962"/>
        <w:gridCol w:w="5670"/>
        <w:tblGridChange w:id="0">
          <w:tblGrid>
            <w:gridCol w:w="4962"/>
            <w:gridCol w:w="56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210015, Республика Беларусь, г. Витебск,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ул. Ленина, 26А, Бизнес-центр «Марко-Сити»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УНП 390540878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blagotvori.vtb@gmail.com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Благотв. счет №  BY30 AKBB 3135 1087 6003 9200 0000 BYN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ОАО «АСБ Беларусбанк» БИК банка АКВВВY2Х  УНП 100325912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текущий расчетный счет №  BY89 POIS 3015 0136 7402 0193 3001, ОАО «Паритетбанк», БИК банка POIS BY2X, УНП 100233809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ИНФОРМАЦИЯ О ДЕЯТЕЛЬНОСТИ, ПОСТУПЛЕНИИ И РАСХОДОВАНИИ ДЕНЕЖНЫХ СРЕДСТВ И ИНОГО ИМУЩЕСТВА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Во исполнение пункта 2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постановления Министерства юстиции Республики Беларусь от 3 августа 2005 г. № 42 «О формах документов, касающихся государственной регистрации фондов, и информации об их деятельности» представляем информацию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0"/>
          <w:szCs w:val="30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для доведения до всеобщего сведения путем размещения на официальном сайте главного управления юстиции Витебского областного исполнительного комитета.</w:t>
      </w:r>
    </w:p>
    <w:p w:rsidR="00000000" w:rsidDel="00000000" w:rsidP="00000000" w:rsidRDefault="00000000" w:rsidRPr="00000000" w14:paraId="00000011">
      <w:pPr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Местный благотворительный фонд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u w:val="single"/>
          <w:rtl w:val="0"/>
        </w:rPr>
        <w:t xml:space="preserve">“МАЯК ДОБРА”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сообщает, что продолжает свою деятельность и располагается по адресу: г.Витебск, ул.Ленина 26А, бизнес-центр “Марко-Сити”, -2 уровень.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мероприятиях, проведенных в 2025 году:</w:t>
      </w:r>
    </w:p>
    <w:tbl>
      <w:tblPr>
        <w:tblStyle w:val="Table2"/>
        <w:tblW w:w="10185.000000000002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990"/>
        <w:gridCol w:w="4079.0000000000005"/>
        <w:gridCol w:w="3736"/>
        <w:tblGridChange w:id="0">
          <w:tblGrid>
            <w:gridCol w:w="1380"/>
            <w:gridCol w:w="990"/>
            <w:gridCol w:w="4079.0000000000005"/>
            <w:gridCol w:w="3736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проведения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Цели и содержание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(в том числе, журналисты, блогеры, модераторы сообществ в социальных сетях)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Подари сказку в Рождество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11.01.25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Пропаганда духовных и нравственных ценностей в рамках православных традиций. Вручение подарков сиротам, инвалидам и детям из многодетных семей. Традиционно, во  время Рождественских святок, 11 января 2025г. представители Фонда  совместно с Белорусским театром «Лялька» провели благотворительное мероприятие со спектаклем, новогодними играми и хороводом возле елки, подарками и фотосессией для 120 детей с инвалидностью и  детей-сирот в возрасте от 3х до 15 лет.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Фонда, БелОИ г.Витебска, дети с инвалидностью Витебска и Витебской области, дети и педагоги Сенненского детского дома, сотрудники театра “Лялька”</w:t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Мероприятие освещалось на сайте Фонда blagotvori.by (модератор  Барановская И.В), в чате Благотворительного фонда в вайбер (модераторы: Прокофьева Л.Л. Година И.В.)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Паломническая поездка посвященная Крещению.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17.01.25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Организовали паломническую поездку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прихожан церкви и волонтеров фонда на Крещение Господне с целью пропаганды духовно-нравственных ценностей. Помощь монастырю и его послушницам.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Группа в составе 20 человек приняла участие в божественной литургии, экскурсии по монастырю, молебну, послушали звон колоколов.Фонд передал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продукты питания, средства личной гигиены.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фонда, члены Витебского БелОИ, представители Центра дневного пребывания инвалидов Октябрьского района г.Витебска, монахини монастыря.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Мероприятие освещалось на сайте Фонда blagotvori.by (модератор  Барановская И.В), в чате Благотворительного фонда в вайбер (модераторы :Прокофьева Л.Л, Година И.В.)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Паломническая поездка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17.02.25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целью оказать омощь монастырю и его послушницам, группа в составе 5 человек посетила монастырь, приняла участие в божественной литургии,, молебне, провели круглый стол с монахинями монастыря. Фонд передал электрочайник и сушильный шкаф для овощей и фруктов.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 и монахини монастыря.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Мероприятие освещалось на сайте Фонда blagotvori.by (модератор  Барановская И.В), в чате Благотворительного фонда в вайбер (модераторы: Прокофьева Л.Л, Година И.В.) 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Пасхальная встреча людей с инвалидностью, и представителей духовенства.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7.05.25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Пропаганда духовных и нравственных ценностей в рамках православных традиций.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Пропаганда активного образа жизни среди людей с инвалидностью.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Традиционно по инициативе Благотворительного Фонда духовного возрождения «Жизнь» в стенах Культурно-исторического комплекса «Золотое кольцо Витебска «Двина» прошла «Пасхальная встреча». Чаепитие,  душевные авторские песни под гитару , трио «Ковчег» и члены сообщества православных авторов-исполнителей «Благодар», подарки каждому участнику встречи.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Участниками представители Витебской областной организации ОО «БелОИ»(Орша, Витебск, Лепель,Полоцк), ОО подопечные отделений дневного пребывания для инвалидов трех территориальных центров Витебска и территориального центра Витебского района, ГУ Вороновский психоневрологический дом-интернат для престарелых и инвалидов, представитель православной церкви Витебской Епархии иерей о.Виктор Гляд, участники Фонда, руководство и сотрудники Культурно- исторического комплекса «Золотое кольцо Витебска «Двина»» ,православные  трио «Ковчег», «Благодар»,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Мероприятие освещалось на сайте Фонда blagotvori.by (модератор  Барановская И.В), в чате  Благотворительного фонда в вайбер (модераторы: Прокофьева Л.Л, Година И.В.) 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Участие в международном Православном фестивале «Радость» в г.Витебск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18- 28.05.25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Сбор средств на написание иконы св.А.Невскому для храма А.Невского в Тадулинском монастыре д.Слабода,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популяризация деятельности фонда, привлечение спонсоров.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 приняли участие в международном фестивале проходившем по ул.Пушкина.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выделенном павильоне для фонда, можно было за пожертвование приобрести сувенирную продукцию, изготавливаемую в мастерской фонда и переданную ремесленниками. собранные средства аккумулировали для затрат на написание иконы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фонда. Неравнодушные люди, представители православной церкви Витебской Епархии,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Мероприятие освещалось в чате Благотворительного фонда в вайбер (модераторы: Прокофьева Л.Л.)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Благотворительная акция для нуждающихся семей «Собери ребенка в школу» на «Славянском базаре в Витебске»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7- 14.07.25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Сбор средств на подарки семьям состоящим в СОП, неблагополучных семей, семей в трудном материальном положении и многодетным нуждающимся семьям, популяризация деятельности фонда, привлечение спонсоров, участников фонда.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 провели акцию в бизнес-центре «Марко-Сити», на которой за пожертвование можно было приобрести сувенирную продукцию, изготавливаемую в мастерской фонда, пожертвованную ремесленниками города и области.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Закупили конфеты, шоколад, печенье, сформировали новогодние подарки и в канун Нового года участники фонда поздравили нуждающиеся семьи с частичным выездом Деда Мороза и Снегурочки и вручили подарки для 30 детей.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фонда. Неравнодушные люди, кружок «Чароуная лампа» библиотеки Е.Лось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Мероприятия Мероприятия освещалось в чате Благотворительного фонда в вайбер (модераторы :председатель правления Прокофьева Л.Л.)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Мастерская Деда Мороза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Ноябрь-декабрь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Воспитание сострадания и милосердия у населения, сбор средств на благотворительных акциях.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Изготовление сувенирной продукции из подручных материалов для проведения акций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Мероприятия освещалось на сайте Фонда blagotvori.by (модератор  Барановская И.В), в чате Благотворительного фонда в вайбер (модераторы: председатель правления Фонда Логвин С.П.)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Благотворительная акция для нуждающихся семей «Подари праздник в Новый год»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 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31.12.25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Сбор средств на подарки семьям состоящим в СОП, неблагополучных семей, семей в трудном материальном положении и многодетным нуждающимся семьям, популяризация деятельности фонда, привлечение спонсоров, участников фонда.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 провели акцию в бизнес-центре «Марко-Сити», на которой за пожертвование можно было приобрести сувенирную продукцию, изготавливаемую в мастерской фонда, пожертвованную ремесленниками города и области.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Закупили конфеты, шоколад, печенье, сок, сформировали новогодние подарки и в канун Нового года участники фонда поздравили нуждающиеся семьи с частичным выездом Деда Мороза и Снегурочки и вручили подарки для 30 детей.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фонда.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Мероприятия освещалось на сайте Фонда blagotvori.by (модератор  Барановская И.В), в чате Благотворительного фонда в вайбер (модераторы: председатель правления Логвин С.П.)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Участие в мероприятиях, проводимых Витебским БелОИ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Январь-декабрь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Спонсирование и волонтерская помощь.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Выявление и оказание помощи социально незащищенным людям с инвалидностью и активной жизненной позицией.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Регулярно Фонд участвует в мероприятиях, проводимых Витебским БелОИ: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 июня Областная рыбалка, 25-27 августа Областной турслет для людей с инвалидностью. Фонд оказывает помощь с подарками, волонтерами, приобретаем необходимые продукты питания для мероприятий.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 фонда.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Мероприятия освещалось на сайте Фонда blagotvori.by (модератор  Барановская И.В), в чате Благотворительного фонда в вайбер (модератор: председатель правления Фонда Логвин С.П.)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Сайте Витебского областного ОО БелОИ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Информационная помощь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Январь-декабрь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Финансово поддержать людей с инвалидностью в тяжелой жизненной ситуации. Воспитание сострадания и милосердия у населения. 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Фонд размещает информацию о детях, нуждающихся в дорогостоящем лечении на сайте и в чате вайбера для ускорения сборов и поиска спонсоров.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Информация освещалась в чате Благотворительного фонда в вайбер (модератор: председатель правления Фонда Логвин С.П. и на сайте Фонда)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Адресная помощь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Январь-декабрь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Помощь людям, оказавшимся в трудном положении по заявительному принципу.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Фонд организовал вещевую помощь  (многодетным, воспитывающим детей с инвалидностью, пожилым)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 раздали продуктовые наборы в количестве 26 штук.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Информация освещалась в чате Благотворительного фонда в вайбер (модератор: председатель правления Фонда Логвин С.П.)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качестве безвозм. (спонсорской) помощи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Январь-декабрь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"Приход храма Св.Ксении Петербургской" 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(строительство дома милосердия)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"Свято-Успенский женский монастырь в д.Слобода Витебского района"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(возрождение монастыря, трубы, уголок, хостинг)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Логвинова Елена Анатольевна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(приобретение худ изд для написания иконы Св благоверного А. Невского)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Первичная организация города Витебска ОО "БелАПДИиМИ"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(МФУ, БУМАГА)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Приход храма Святителя Спиридона, епископа Тримифунтского 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(колокола, хоз нужды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Информация освещалась в чате Благотворительного фонда в вайбер (модератор: председатель правления Фонда Логвин С.П.)</w:t>
            </w:r>
          </w:p>
        </w:tc>
      </w:tr>
    </w:tbl>
    <w:p w:rsidR="00000000" w:rsidDel="00000000" w:rsidP="00000000" w:rsidRDefault="00000000" w:rsidRPr="00000000" w14:paraId="0000008B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представительствах и (или) филиалах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C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учредителей фонда составляет -1.</w:t>
      </w:r>
    </w:p>
    <w:p w:rsidR="00000000" w:rsidDel="00000000" w:rsidP="00000000" w:rsidRDefault="00000000" w:rsidRPr="00000000" w14:paraId="0000008D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о поступлении денежных средств и иного имущества в 2025 году:</w:t>
      </w:r>
    </w:p>
    <w:tbl>
      <w:tblPr>
        <w:tblStyle w:val="Table3"/>
        <w:tblW w:w="10245.0" w:type="dxa"/>
        <w:jc w:val="left"/>
        <w:tblInd w:w="-1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20"/>
        <w:gridCol w:w="3825"/>
        <w:tblGridChange w:id="0">
          <w:tblGrid>
            <w:gridCol w:w="6420"/>
            <w:gridCol w:w="382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общая стоимость и учет имущества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28921,82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имущество, переданное учредителями (учредителем) фонда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2500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поступления от проводимых мероприятий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7203,39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доходы, полученные от осуществляемой в соответствии с уставом фонда  предпринимательской деятельности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поступления от иностранных и международных организаций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(с указанием сведений об этих организациях, а также сумм денежных средств и конкретного имущества)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добровольные пожертвования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18504,21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поступления, полученные в качестве безвозмездной (спонсорской) помощи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264,00</w:t>
            </w:r>
          </w:p>
          <w:p w:rsidR="00000000" w:rsidDel="00000000" w:rsidP="00000000" w:rsidRDefault="00000000" w:rsidRPr="00000000" w14:paraId="0000009D">
            <w:pPr>
              <w:ind w:lef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иные поступления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450,22</w:t>
            </w:r>
          </w:p>
        </w:tc>
      </w:tr>
    </w:tbl>
    <w:p w:rsidR="00000000" w:rsidDel="00000000" w:rsidP="00000000" w:rsidRDefault="00000000" w:rsidRPr="00000000" w14:paraId="000000A0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о расходовании денежных средств и иного имущества в 2025 году:</w:t>
      </w:r>
    </w:p>
    <w:tbl>
      <w:tblPr>
        <w:tblStyle w:val="Table4"/>
        <w:tblW w:w="10290.0" w:type="dxa"/>
        <w:jc w:val="left"/>
        <w:tblInd w:w="-2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35"/>
        <w:gridCol w:w="3855"/>
        <w:tblGridChange w:id="0">
          <w:tblGrid>
            <w:gridCol w:w="6435"/>
            <w:gridCol w:w="3855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общая сумма и учет расходов денежных средств и иного имущества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36915,89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численность работников, размеры оплаты их труда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ind w:left="2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19624,88:</w:t>
            </w:r>
          </w:p>
          <w:p w:rsidR="00000000" w:rsidDel="00000000" w:rsidP="00000000" w:rsidRDefault="00000000" w:rsidRPr="00000000" w14:paraId="000000A6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7255,71</w:t>
            </w:r>
          </w:p>
          <w:p w:rsidR="00000000" w:rsidDel="00000000" w:rsidP="00000000" w:rsidRDefault="00000000" w:rsidRPr="00000000" w14:paraId="000000A7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Бухгалтер 2622,19</w:t>
            </w:r>
          </w:p>
          <w:p w:rsidR="00000000" w:rsidDel="00000000" w:rsidP="00000000" w:rsidRDefault="00000000" w:rsidRPr="00000000" w14:paraId="000000A8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Маркетолог 1907,68</w:t>
            </w:r>
          </w:p>
          <w:p w:rsidR="00000000" w:rsidDel="00000000" w:rsidP="00000000" w:rsidRDefault="00000000" w:rsidRPr="00000000" w14:paraId="000000A9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Специалист по соц работе 2576,95</w:t>
            </w:r>
          </w:p>
          <w:p w:rsidR="00000000" w:rsidDel="00000000" w:rsidP="00000000" w:rsidRDefault="00000000" w:rsidRPr="00000000" w14:paraId="000000AA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Юристконсульт 469,57</w:t>
            </w:r>
          </w:p>
          <w:p w:rsidR="00000000" w:rsidDel="00000000" w:rsidP="00000000" w:rsidRDefault="00000000" w:rsidRPr="00000000" w14:paraId="000000AB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Налоги на ФОТ 4792,88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расходы на материально-техническое обеспечение: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-комиссия банка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-хозяйственные нужды 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-аренда, коммунальные услуги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услуги связи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-лицензия 1с 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-сертификаты ЭЦП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госпошлина изменения в устав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-хостинг 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-палатка для уличной торговли (мероприятий) каркас, тент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left="2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4084,75:</w:t>
            </w:r>
          </w:p>
          <w:p w:rsidR="00000000" w:rsidDel="00000000" w:rsidP="00000000" w:rsidRDefault="00000000" w:rsidRPr="00000000" w14:paraId="000000B7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446,29</w:t>
            </w:r>
          </w:p>
          <w:p w:rsidR="00000000" w:rsidDel="00000000" w:rsidP="00000000" w:rsidRDefault="00000000" w:rsidRPr="00000000" w14:paraId="000000B8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277,77</w:t>
            </w:r>
          </w:p>
          <w:p w:rsidR="00000000" w:rsidDel="00000000" w:rsidP="00000000" w:rsidRDefault="00000000" w:rsidRPr="00000000" w14:paraId="000000B9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936,8</w:t>
            </w:r>
          </w:p>
          <w:p w:rsidR="00000000" w:rsidDel="00000000" w:rsidP="00000000" w:rsidRDefault="00000000" w:rsidRPr="00000000" w14:paraId="000000BA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316,67</w:t>
            </w:r>
          </w:p>
          <w:p w:rsidR="00000000" w:rsidDel="00000000" w:rsidP="00000000" w:rsidRDefault="00000000" w:rsidRPr="00000000" w14:paraId="000000B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743,00</w:t>
            </w:r>
          </w:p>
          <w:p w:rsidR="00000000" w:rsidDel="00000000" w:rsidP="00000000" w:rsidRDefault="00000000" w:rsidRPr="00000000" w14:paraId="000000BC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157,74</w:t>
            </w:r>
          </w:p>
          <w:p w:rsidR="00000000" w:rsidDel="00000000" w:rsidP="00000000" w:rsidRDefault="00000000" w:rsidRPr="00000000" w14:paraId="000000BD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210,00</w:t>
            </w:r>
          </w:p>
          <w:p w:rsidR="00000000" w:rsidDel="00000000" w:rsidP="00000000" w:rsidRDefault="00000000" w:rsidRPr="00000000" w14:paraId="000000BE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255,48</w:t>
            </w:r>
          </w:p>
          <w:p w:rsidR="00000000" w:rsidDel="00000000" w:rsidP="00000000" w:rsidRDefault="00000000" w:rsidRPr="00000000" w14:paraId="000000BF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741,00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C2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использование денежных средств и иного имущества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(с указанием сумм и мероприятий)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поступивших:</w:t>
            </w:r>
          </w:p>
          <w:p w:rsidR="00000000" w:rsidDel="00000000" w:rsidP="00000000" w:rsidRDefault="00000000" w:rsidRPr="00000000" w14:paraId="000000C4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имущества, переданного учредителями (учредителем) фонда;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"Приход храма Св.Ксении Петербургской"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строительство дома милосердия)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"Свято-Успенский женский монастырь в д.Слобода Витебского района" (возрождение монастыря, трубы, уголок, хостинг)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Логвинова Елена Анатольевна (приобретение худ изд для написания иконы Св благоверного А. Невского)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Первичная организация города Витебска ОО "БелАПДИиМИ" (МФУ, БУМАГА)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Приход храма Святителя Спиридона, епископа Тримифунтского (колокола, хоз нужды)</w:t>
            </w:r>
          </w:p>
          <w:p w:rsidR="00000000" w:rsidDel="00000000" w:rsidP="00000000" w:rsidRDefault="00000000" w:rsidRPr="00000000" w14:paraId="000000CA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проводимых мероприятий: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 паломнические поездки в Свято-Успенский Тадулинский монастырь на крещение и в феврале, подарили (сушильный шкаф, продукт наборы, бытовую химию)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-“Радость” международный фестиваль, пасхальные продуктовые наборы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“Собери ребенка в школу” канцтовары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“Подари подарок в Новый год” сладкие подарки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“Ловись рыбка большая и маленькая”, соревнование для инвалидов по рыбной ловле совместно с ОО БелОИ Вит обл.(подарок для главного организатора – удилище)</w:t>
            </w:r>
          </w:p>
          <w:p w:rsidR="00000000" w:rsidDel="00000000" w:rsidP="00000000" w:rsidRDefault="00000000" w:rsidRPr="00000000" w14:paraId="000000D1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доходов от предпринимательской деятельности;</w:t>
            </w:r>
          </w:p>
          <w:p w:rsidR="00000000" w:rsidDel="00000000" w:rsidP="00000000" w:rsidRDefault="00000000" w:rsidRPr="00000000" w14:paraId="000000D3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добровольных пожертвований;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Помощь пострадавшим от урагана в Городке в Июле 2025 (продуктовые наборы)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Помощь (продуктовые наборы) нуждающимся Витебская область</w:t>
            </w:r>
          </w:p>
          <w:p w:rsidR="00000000" w:rsidDel="00000000" w:rsidP="00000000" w:rsidRDefault="00000000" w:rsidRPr="00000000" w14:paraId="000000D6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иностранных и международных организаций;</w:t>
            </w:r>
          </w:p>
          <w:p w:rsidR="00000000" w:rsidDel="00000000" w:rsidP="00000000" w:rsidRDefault="00000000" w:rsidRPr="00000000" w14:paraId="000000D8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безвозмездной (спонсорской) помощи:</w:t>
            </w:r>
          </w:p>
          <w:p w:rsidR="00000000" w:rsidDel="00000000" w:rsidP="00000000" w:rsidRDefault="00000000" w:rsidRPr="00000000" w14:paraId="000000DA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firstLine="5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 иных источников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2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2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9300,00:</w:t>
            </w:r>
          </w:p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2800,00</w:t>
            </w:r>
          </w:p>
          <w:p w:rsidR="00000000" w:rsidDel="00000000" w:rsidP="00000000" w:rsidRDefault="00000000" w:rsidRPr="00000000" w14:paraId="000000E1">
            <w:pPr>
              <w:ind w:left="2775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1800,00</w:t>
            </w:r>
          </w:p>
          <w:p w:rsidR="00000000" w:rsidDel="00000000" w:rsidP="00000000" w:rsidRDefault="00000000" w:rsidRPr="00000000" w14:paraId="000000E2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E3">
            <w:pPr>
              <w:ind w:left="2775" w:firstLine="66.99999999999989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</w:t>
            </w:r>
          </w:p>
          <w:p w:rsidR="00000000" w:rsidDel="00000000" w:rsidP="00000000" w:rsidRDefault="00000000" w:rsidRPr="00000000" w14:paraId="000000E4">
            <w:pPr>
              <w:ind w:left="2775" w:firstLine="66.99999999999989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1200,00</w:t>
            </w:r>
          </w:p>
          <w:p w:rsidR="00000000" w:rsidDel="00000000" w:rsidP="00000000" w:rsidRDefault="00000000" w:rsidRPr="00000000" w14:paraId="000000E5">
            <w:pPr>
              <w:ind w:left="2775" w:hanging="709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</w:t>
            </w:r>
          </w:p>
          <w:p w:rsidR="00000000" w:rsidDel="00000000" w:rsidP="00000000" w:rsidRDefault="00000000" w:rsidRPr="00000000" w14:paraId="000000E6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1000,00</w:t>
            </w:r>
          </w:p>
          <w:p w:rsidR="00000000" w:rsidDel="00000000" w:rsidP="00000000" w:rsidRDefault="00000000" w:rsidRPr="00000000" w14:paraId="000000E7">
            <w:pPr>
              <w:ind w:left="2775" w:hanging="141.9999999999999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2500,00</w:t>
            </w:r>
          </w:p>
          <w:p w:rsidR="00000000" w:rsidDel="00000000" w:rsidP="00000000" w:rsidRDefault="00000000" w:rsidRPr="00000000" w14:paraId="000000E8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2920,34:</w:t>
            </w:r>
          </w:p>
          <w:p w:rsidR="00000000" w:rsidDel="00000000" w:rsidP="00000000" w:rsidRDefault="00000000" w:rsidRPr="00000000" w14:paraId="000000E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996,01</w:t>
            </w:r>
          </w:p>
          <w:p w:rsidR="00000000" w:rsidDel="00000000" w:rsidP="00000000" w:rsidRDefault="00000000" w:rsidRPr="00000000" w14:paraId="000000EC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396,73</w:t>
            </w:r>
          </w:p>
          <w:p w:rsidR="00000000" w:rsidDel="00000000" w:rsidP="00000000" w:rsidRDefault="00000000" w:rsidRPr="00000000" w14:paraId="000000ED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0" w:right="-30.23622047244089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789,13</w:t>
            </w:r>
          </w:p>
          <w:p w:rsidR="00000000" w:rsidDel="00000000" w:rsidP="00000000" w:rsidRDefault="00000000" w:rsidRPr="00000000" w14:paraId="000000F0">
            <w:pPr>
              <w:ind w:left="0" w:right="-30.23622047244089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105,71</w:t>
            </w:r>
          </w:p>
          <w:p w:rsidR="00000000" w:rsidDel="00000000" w:rsidP="00000000" w:rsidRDefault="00000000" w:rsidRPr="00000000" w14:paraId="000000F1">
            <w:pPr>
              <w:ind w:left="23" w:right="-30.23622047244089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410,76</w:t>
            </w:r>
          </w:p>
          <w:p w:rsidR="00000000" w:rsidDel="00000000" w:rsidP="00000000" w:rsidRDefault="00000000" w:rsidRPr="00000000" w14:paraId="000000F2">
            <w:pPr>
              <w:ind w:left="23" w:right="-30.23622047244089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222,00</w:t>
            </w:r>
          </w:p>
          <w:p w:rsidR="00000000" w:rsidDel="00000000" w:rsidP="00000000" w:rsidRDefault="00000000" w:rsidRPr="00000000" w14:paraId="000000F3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7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985,82:</w:t>
            </w:r>
          </w:p>
          <w:p w:rsidR="00000000" w:rsidDel="00000000" w:rsidP="00000000" w:rsidRDefault="00000000" w:rsidRPr="00000000" w14:paraId="000000F9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691,92</w:t>
            </w:r>
          </w:p>
          <w:p w:rsidR="00000000" w:rsidDel="00000000" w:rsidP="00000000" w:rsidRDefault="00000000" w:rsidRPr="00000000" w14:paraId="000000FA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293,90</w:t>
            </w:r>
          </w:p>
          <w:p w:rsidR="00000000" w:rsidDel="00000000" w:rsidP="00000000" w:rsidRDefault="00000000" w:rsidRPr="00000000" w14:paraId="000000FC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F">
            <w:pPr>
              <w:ind w:left="23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01">
            <w:pPr>
              <w:ind w:left="2775" w:hanging="141.9999999999999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left="2775" w:hanging="141.9999999999999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6804"/>
        </w:tabs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____________</w:t>
      </w:r>
    </w:p>
    <w:p w:rsidR="00000000" w:rsidDel="00000000" w:rsidP="00000000" w:rsidRDefault="00000000" w:rsidRPr="00000000" w14:paraId="000001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подпись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А.С. Климентьева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8" w:top="851" w:left="1276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0F">
      <w:pPr>
        <w:jc w:val="both"/>
        <w:rPr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Достоверность представленных сведений обеспечивается фондами.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0Qoy1PM93+pLucJ4eLP8hmVoQ==">CgMxLjA4AHIhMUlrZkZORUdHMmJKRkc2RUF2NXpxdXFybGlnbXZ1NGgw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